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11/10/2024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Schumm-Leffler</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3 Victoria Road</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Dixie Tureville</w:t>
      </w:r>
      <w:r>
        <w:rPr>
          <w:rFonts w:ascii="Times New Roman" w:hAnsi="Times New Roman"/>
          <w:sz w:val="24"/>
          <w:szCs w:val="24"/>
        </w:rPr>
        <w:t xml:space="preserve"> (“Employee”) of </w:t>
      </w:r>
      <w:r>
        <w:rPr>
          <w:rFonts w:ascii="Times New Roman" w:hAnsi="Times New Roman"/>
          <w:sz w:val="24"/>
          <w:szCs w:val="24"/>
          <w:highlight w:val="yellow"/>
        </w:rPr>
        <w:t xml:space="preserve">552 Larry Parkway</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Research Associate</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Research Associate</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6/6/2024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Research Associate</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Vestibulum ante ipsum primis in faucibus orci luctus et ultrices posuere cubilia Curae; Donec pharetra, magna vestibulum aliquet ultrices, erat tortor sollicitudin mi, sit amet lobortis sapien sapien non mi.</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Aenean lectus.</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Donec ut dolor.</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$3521.97</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24</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3</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